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57B3D" w14:textId="539834C3" w:rsidR="00AC0C00" w:rsidRPr="008E6DEB" w:rsidRDefault="008E6DEB" w:rsidP="008E6DEB">
      <w:pPr>
        <w:widowControl w:val="0"/>
        <w:jc w:val="center"/>
        <w:rPr>
          <w:b/>
          <w:bCs/>
          <w:i/>
          <w:iCs/>
          <w:sz w:val="28"/>
          <w:szCs w:val="28"/>
        </w:rPr>
      </w:pPr>
      <w:r w:rsidRPr="008E6DEB">
        <w:rPr>
          <w:b/>
          <w:bCs/>
          <w:i/>
          <w:iCs/>
          <w:sz w:val="28"/>
          <w:szCs w:val="28"/>
        </w:rPr>
        <w:t>Curso de posgrado: Bioinformática aplicada al desarrollo de medicamentos y nuevas terapias.</w:t>
      </w:r>
    </w:p>
    <w:p w14:paraId="065EF31C" w14:textId="77777777" w:rsidR="008E6DEB" w:rsidRDefault="008E6DEB">
      <w:pPr>
        <w:widowControl w:val="0"/>
        <w:rPr>
          <w:i/>
          <w:sz w:val="28"/>
          <w:szCs w:val="28"/>
          <w:highlight w:val="white"/>
        </w:rPr>
      </w:pPr>
    </w:p>
    <w:p w14:paraId="1A39EC2B" w14:textId="73B59727" w:rsidR="00BD665F" w:rsidRPr="008E6DEB" w:rsidRDefault="00E33938" w:rsidP="00BD66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i/>
          <w:sz w:val="24"/>
          <w:szCs w:val="24"/>
          <w:highlight w:val="yellow"/>
        </w:rPr>
      </w:pPr>
      <w:r w:rsidRPr="008E6DEB">
        <w:rPr>
          <w:rFonts w:asciiTheme="majorHAnsi" w:hAnsiTheme="majorHAnsi" w:cstheme="majorHAnsi"/>
          <w:b/>
          <w:i/>
          <w:sz w:val="24"/>
          <w:szCs w:val="24"/>
        </w:rPr>
        <w:t>Profesores:</w:t>
      </w:r>
      <w:r w:rsidRPr="008E6DEB">
        <w:rPr>
          <w:rFonts w:asciiTheme="majorHAnsi" w:hAnsiTheme="majorHAnsi" w:cstheme="majorHAnsi"/>
          <w:i/>
          <w:sz w:val="24"/>
          <w:szCs w:val="24"/>
        </w:rPr>
        <w:t xml:space="preserve"> </w:t>
      </w:r>
      <w:r w:rsidR="00215BE8">
        <w:rPr>
          <w:rFonts w:asciiTheme="majorHAnsi" w:hAnsiTheme="majorHAnsi" w:cstheme="majorHAnsi"/>
          <w:i/>
          <w:sz w:val="24"/>
          <w:szCs w:val="24"/>
        </w:rPr>
        <w:t xml:space="preserve">Dr. </w:t>
      </w:r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Darío Fernández Do </w:t>
      </w:r>
      <w:proofErr w:type="gramStart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Porto, </w:t>
      </w:r>
      <w:r w:rsidR="00215BE8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 Dr.</w:t>
      </w:r>
      <w:proofErr w:type="gramEnd"/>
      <w:r w:rsidR="00215BE8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 </w:t>
      </w:r>
      <w:proofErr w:type="spellStart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>Adrian</w:t>
      </w:r>
      <w:proofErr w:type="spellEnd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 </w:t>
      </w:r>
      <w:proofErr w:type="spellStart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>Turjanski</w:t>
      </w:r>
      <w:proofErr w:type="spellEnd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, </w:t>
      </w:r>
      <w:r w:rsidR="00215BE8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Lic. </w:t>
      </w:r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Gabriel García, </w:t>
      </w:r>
      <w:r w:rsidR="00215BE8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Lic. </w:t>
      </w:r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 xml:space="preserve">Miranda </w:t>
      </w:r>
      <w:proofErr w:type="spellStart"/>
      <w:r w:rsidR="00BD665F" w:rsidRPr="008E6DEB">
        <w:rPr>
          <w:rFonts w:asciiTheme="majorHAnsi" w:hAnsiTheme="majorHAnsi" w:cstheme="majorHAnsi"/>
          <w:i/>
          <w:sz w:val="24"/>
          <w:szCs w:val="24"/>
          <w:highlight w:val="white"/>
        </w:rPr>
        <w:t>Palumbo</w:t>
      </w:r>
      <w:proofErr w:type="spellEnd"/>
      <w:r w:rsidR="00BD665F" w:rsidRPr="008E6DEB">
        <w:rPr>
          <w:rFonts w:asciiTheme="majorHAnsi" w:hAnsiTheme="majorHAnsi" w:cstheme="majorHAnsi"/>
          <w:b/>
          <w:i/>
          <w:sz w:val="24"/>
          <w:szCs w:val="24"/>
          <w:highlight w:val="yellow"/>
        </w:rPr>
        <w:t xml:space="preserve"> </w:t>
      </w:r>
    </w:p>
    <w:p w14:paraId="7BD11CB4" w14:textId="58E57CB1" w:rsidR="00AC0C00" w:rsidRPr="008E6DEB" w:rsidRDefault="00E33938" w:rsidP="00BD66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i/>
          <w:sz w:val="24"/>
          <w:szCs w:val="24"/>
        </w:rPr>
      </w:pPr>
      <w:r w:rsidRPr="00215BE8">
        <w:rPr>
          <w:rFonts w:asciiTheme="majorHAnsi" w:hAnsiTheme="majorHAnsi" w:cstheme="majorHAnsi"/>
          <w:b/>
          <w:i/>
          <w:sz w:val="24"/>
          <w:szCs w:val="24"/>
        </w:rPr>
        <w:t>Duración:</w:t>
      </w:r>
      <w:r w:rsidRPr="00215BE8">
        <w:rPr>
          <w:rFonts w:asciiTheme="majorHAnsi" w:hAnsiTheme="majorHAnsi" w:cstheme="majorHAnsi"/>
          <w:i/>
          <w:sz w:val="24"/>
          <w:szCs w:val="24"/>
        </w:rPr>
        <w:t xml:space="preserve">  </w:t>
      </w:r>
      <w:r w:rsidR="00706B9F" w:rsidRPr="00215BE8">
        <w:rPr>
          <w:rFonts w:asciiTheme="majorHAnsi" w:hAnsiTheme="majorHAnsi" w:cstheme="majorHAnsi"/>
          <w:i/>
          <w:sz w:val="24"/>
          <w:szCs w:val="24"/>
        </w:rPr>
        <w:t>32</w:t>
      </w:r>
      <w:r w:rsidR="008E6DEB" w:rsidRPr="00215BE8">
        <w:rPr>
          <w:rFonts w:asciiTheme="majorHAnsi" w:hAnsiTheme="majorHAnsi" w:cstheme="majorHAnsi"/>
          <w:i/>
          <w:sz w:val="24"/>
          <w:szCs w:val="24"/>
        </w:rPr>
        <w:t xml:space="preserve"> horas totales.</w:t>
      </w:r>
      <w:r w:rsidR="008E6DEB">
        <w:rPr>
          <w:rFonts w:asciiTheme="majorHAnsi" w:hAnsiTheme="majorHAnsi" w:cstheme="majorHAnsi"/>
          <w:i/>
          <w:sz w:val="24"/>
          <w:szCs w:val="24"/>
        </w:rPr>
        <w:t xml:space="preserve"> </w:t>
      </w:r>
    </w:p>
    <w:p w14:paraId="20470E11" w14:textId="674EC2E2" w:rsidR="00AC0C00" w:rsidRPr="008E6DEB" w:rsidRDefault="00E33938">
      <w:pPr>
        <w:jc w:val="both"/>
        <w:rPr>
          <w:rFonts w:asciiTheme="majorHAnsi" w:hAnsiTheme="majorHAnsi" w:cstheme="majorHAnsi"/>
          <w:i/>
          <w:sz w:val="24"/>
          <w:szCs w:val="24"/>
        </w:rPr>
      </w:pPr>
      <w:r w:rsidRPr="008E6DEB">
        <w:rPr>
          <w:rFonts w:asciiTheme="majorHAnsi" w:hAnsiTheme="majorHAnsi" w:cstheme="majorHAnsi"/>
          <w:b/>
          <w:i/>
          <w:sz w:val="24"/>
          <w:szCs w:val="24"/>
        </w:rPr>
        <w:t>Modalidad:</w:t>
      </w:r>
      <w:r w:rsidRPr="008E6DEB">
        <w:rPr>
          <w:rFonts w:asciiTheme="majorHAnsi" w:hAnsiTheme="majorHAnsi" w:cstheme="majorHAnsi"/>
          <w:i/>
          <w:sz w:val="24"/>
          <w:szCs w:val="24"/>
        </w:rPr>
        <w:t xml:space="preserve"> </w:t>
      </w:r>
      <w:r w:rsidR="003164CF" w:rsidRPr="008E6DEB">
        <w:rPr>
          <w:rFonts w:asciiTheme="majorHAnsi" w:hAnsiTheme="majorHAnsi" w:cstheme="majorHAnsi"/>
          <w:i/>
          <w:sz w:val="24"/>
          <w:szCs w:val="24"/>
        </w:rPr>
        <w:t>Clases virtuales sincrónicas con actividades asincrónicas</w:t>
      </w:r>
    </w:p>
    <w:p w14:paraId="60F37292" w14:textId="77777777" w:rsidR="00AC0C00" w:rsidRPr="008E6DEB" w:rsidRDefault="00AC0C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i/>
          <w:sz w:val="24"/>
          <w:szCs w:val="24"/>
          <w:highlight w:val="white"/>
        </w:rPr>
      </w:pPr>
    </w:p>
    <w:p w14:paraId="767F476B" w14:textId="77777777" w:rsidR="00AC0C00" w:rsidRPr="008E6DEB" w:rsidRDefault="00E3393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>Fundamentación y descripción:</w:t>
      </w:r>
    </w:p>
    <w:p w14:paraId="3B65CE3B" w14:textId="0C936A6B" w:rsidR="003C630D" w:rsidRDefault="003C630D" w:rsidP="003C630D">
      <w:pPr>
        <w:pStyle w:val="NormalWeb"/>
      </w:pPr>
      <w:r>
        <w:t xml:space="preserve">El curso de posgrado </w:t>
      </w:r>
      <w:r w:rsidRPr="003C630D">
        <w:rPr>
          <w:rStyle w:val="nfasis"/>
        </w:rPr>
        <w:t>Bioinformática aplicada al desarrollo de medicamentos y nuevas terapias</w:t>
      </w:r>
      <w:r>
        <w:t xml:space="preserve"> ofrece un recorrido formativo que integra la bioinformática estructural y la bioinformática aplicada al desarrollo de fármacos. Su propósito es brindar una visión completa del proceso que conecta la exploración genómica con la caracterización estructural de blancos terapéuticos y la evaluación de interacciones con compuestos químicos, en el marco del diseño racional de nuevas terapias.</w:t>
      </w:r>
    </w:p>
    <w:p w14:paraId="26F8C8FA" w14:textId="258584B3" w:rsidR="003C630D" w:rsidRDefault="003C630D" w:rsidP="003C630D">
      <w:pPr>
        <w:pStyle w:val="NormalWeb"/>
      </w:pPr>
      <w:r>
        <w:t>A lo largo de la cursada, los estudiantes se familiarizarán con la integración de datos genómicos y multi-</w:t>
      </w:r>
      <w:proofErr w:type="spellStart"/>
      <w:r>
        <w:t>ómicos</w:t>
      </w:r>
      <w:proofErr w:type="spellEnd"/>
      <w:r>
        <w:t xml:space="preserve"> para la identificación y priorización de blancos moleculares, así como con la representación y estudio de redes metabólicas que permiten comprender el contexto funcional de dichos blancos. </w:t>
      </w:r>
      <w:r w:rsidRPr="003C630D">
        <w:t>Se abordarán conceptos de CRISPR/</w:t>
      </w:r>
      <w:proofErr w:type="spellStart"/>
      <w:r w:rsidRPr="003C630D">
        <w:t>CRISPRi</w:t>
      </w:r>
      <w:proofErr w:type="spellEnd"/>
      <w:r w:rsidRPr="003C630D">
        <w:t xml:space="preserve"> para la validación experimental de blancos, incluyendo el uso de herramientas bioinformáticas para el diseño de guías de ARN que permitan silenciar o modular específicamente la expresión de genes candidatos</w:t>
      </w:r>
      <w:r>
        <w:t xml:space="preserve">. En la etapa de interacción fármaco–blanco, se profundizará en métodos de </w:t>
      </w:r>
      <w:proofErr w:type="spellStart"/>
      <w:r>
        <w:t>docking</w:t>
      </w:r>
      <w:proofErr w:type="spellEnd"/>
      <w:r>
        <w:t xml:space="preserve"> proteína–ligando, identificación de residuos clave (</w:t>
      </w:r>
      <w:proofErr w:type="spellStart"/>
      <w:r>
        <w:rPr>
          <w:rStyle w:val="nfasis"/>
        </w:rPr>
        <w:t>hot</w:t>
      </w:r>
      <w:proofErr w:type="spellEnd"/>
      <w:r>
        <w:rPr>
          <w:rStyle w:val="nfasis"/>
        </w:rPr>
        <w:t>-spots</w:t>
      </w:r>
      <w:r>
        <w:t xml:space="preserve">) y el uso de dinámica molecular para evaluar estabilidad y comportamiento de complejos. </w:t>
      </w:r>
    </w:p>
    <w:p w14:paraId="3142DF69" w14:textId="77777777" w:rsidR="003C630D" w:rsidRDefault="003C630D" w:rsidP="003C630D">
      <w:pPr>
        <w:pStyle w:val="NormalWeb"/>
      </w:pPr>
      <w:r>
        <w:t>De esta manera, se brindan competencias para seleccionar y aplicar herramientas bioinformáticas de última generación, interpretar críticamente los resultados y proponer estrategias de optimización de candidatos terapéuticos. En conjunto, el curso constituye una base sólida para la participación en proyectos de descubrimiento de drogas en entornos académicos, biotecnológicos y farmacéuticos.</w:t>
      </w:r>
    </w:p>
    <w:p w14:paraId="6365FB43" w14:textId="77777777" w:rsidR="00215BE8" w:rsidRDefault="00215BE8" w:rsidP="001031C1">
      <w:pPr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</w:p>
    <w:p w14:paraId="204C95E6" w14:textId="5C05BE64" w:rsidR="001031C1" w:rsidRPr="008E6DEB" w:rsidRDefault="00E33938" w:rsidP="001031C1">
      <w:pPr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>Objetivos</w:t>
      </w:r>
      <w:r w:rsidR="001031C1" w:rsidRPr="008E6DEB">
        <w:rPr>
          <w:rFonts w:asciiTheme="majorHAnsi" w:hAnsiTheme="majorHAnsi" w:cstheme="majorHAnsi"/>
          <w:b/>
          <w:sz w:val="24"/>
          <w:szCs w:val="24"/>
          <w:u w:val="single"/>
        </w:rPr>
        <w:t xml:space="preserve"> generales</w:t>
      </w: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>:</w:t>
      </w:r>
    </w:p>
    <w:p w14:paraId="031CC4D7" w14:textId="4A59A32E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t xml:space="preserve">Familiarizar al estudiante con el uso de datos genómicos y </w:t>
      </w:r>
      <w:proofErr w:type="spellStart"/>
      <w:r w:rsidRPr="003C630D">
        <w:rPr>
          <w:rFonts w:asciiTheme="majorHAnsi" w:eastAsia="Times New Roman" w:hAnsiTheme="majorHAnsi" w:cstheme="majorHAnsi"/>
          <w:sz w:val="24"/>
          <w:szCs w:val="24"/>
        </w:rPr>
        <w:t>transcriptómicos</w:t>
      </w:r>
      <w:proofErr w:type="spellEnd"/>
      <w:r w:rsidRPr="003C630D">
        <w:rPr>
          <w:rFonts w:asciiTheme="majorHAnsi" w:eastAsia="Times New Roman" w:hAnsiTheme="majorHAnsi" w:cstheme="majorHAnsi"/>
          <w:sz w:val="24"/>
          <w:szCs w:val="24"/>
        </w:rPr>
        <w:t xml:space="preserve"> para la identificación y priorización de blancos moleculares.</w:t>
      </w:r>
    </w:p>
    <w:p w14:paraId="01B80E94" w14:textId="77777777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0D13E62A" w14:textId="77777777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lastRenderedPageBreak/>
        <w:t>Incorporar el análisis de redes metabólicas y su papel en la contextualización funcional de los blancos terapéuticos.</w:t>
      </w:r>
    </w:p>
    <w:p w14:paraId="4F718BAE" w14:textId="059186CC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t>Introducir conceptos de validación experimental de blancos mediante CRISPR/</w:t>
      </w:r>
      <w:proofErr w:type="spellStart"/>
      <w:r>
        <w:t>CRISPRi</w:t>
      </w:r>
      <w:proofErr w:type="spellEnd"/>
      <w:r>
        <w:t xml:space="preserve"> y el diseño de guías de ARN asistido por herramientas bioinformáticas.</w:t>
      </w:r>
    </w:p>
    <w:p w14:paraId="52086DCB" w14:textId="77777777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t>Introducir al estudiante en los principios fundamentales del manejo y análisis de datos químicos y biológicos, con énfasis en bases de datos de compuestos bioactivos y proteínas blanco.</w:t>
      </w:r>
    </w:p>
    <w:p w14:paraId="58CE6212" w14:textId="77777777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t xml:space="preserve">Brindar herramientas para la preparación, evaluación y modelado de interacciones droga–proteína mediante enfoques de </w:t>
      </w:r>
      <w:proofErr w:type="spellStart"/>
      <w:r w:rsidRPr="003C630D">
        <w:rPr>
          <w:rFonts w:asciiTheme="majorHAnsi" w:eastAsia="Times New Roman" w:hAnsiTheme="majorHAnsi" w:cstheme="majorHAnsi"/>
          <w:sz w:val="24"/>
          <w:szCs w:val="24"/>
        </w:rPr>
        <w:t>docking</w:t>
      </w:r>
      <w:proofErr w:type="spellEnd"/>
      <w:r w:rsidRPr="003C630D">
        <w:rPr>
          <w:rFonts w:asciiTheme="majorHAnsi" w:eastAsia="Times New Roman" w:hAnsiTheme="majorHAnsi" w:cstheme="majorHAnsi"/>
          <w:sz w:val="24"/>
          <w:szCs w:val="24"/>
        </w:rPr>
        <w:t xml:space="preserve"> y </w:t>
      </w:r>
      <w:proofErr w:type="spellStart"/>
      <w:r w:rsidRPr="003C630D">
        <w:rPr>
          <w:rFonts w:asciiTheme="majorHAnsi" w:eastAsia="Times New Roman" w:hAnsiTheme="majorHAnsi" w:cstheme="majorHAnsi"/>
          <w:sz w:val="24"/>
          <w:szCs w:val="24"/>
        </w:rPr>
        <w:t>scoring</w:t>
      </w:r>
      <w:proofErr w:type="spellEnd"/>
      <w:r w:rsidRPr="003C630D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76163B96" w14:textId="77777777" w:rsidR="003C630D" w:rsidRPr="003C630D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t>Introducir al estudiante en la dinámica molecular como herramienta para evaluar la estabilidad, flexibilidad y energía libre de unión de complejos droga–blanco.</w:t>
      </w:r>
    </w:p>
    <w:p w14:paraId="492EA3C7" w14:textId="60BA13EB" w:rsidR="008E6DEB" w:rsidRPr="008E6DEB" w:rsidRDefault="003C630D" w:rsidP="003C630D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3C630D">
        <w:rPr>
          <w:rFonts w:asciiTheme="majorHAnsi" w:eastAsia="Times New Roman" w:hAnsiTheme="majorHAnsi" w:cstheme="majorHAnsi"/>
          <w:sz w:val="24"/>
          <w:szCs w:val="24"/>
        </w:rPr>
        <w:t>Desarrollar habilidades para integrar y aplicar estas metodologías en el descubrimiento y optimización de fármacos y nuevas terapias.</w:t>
      </w:r>
    </w:p>
    <w:p w14:paraId="56E22824" w14:textId="21C84E39" w:rsidR="008B1EF9" w:rsidRPr="008E6DEB" w:rsidRDefault="00ED3A46" w:rsidP="008E6DEB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8E6DEB">
        <w:rPr>
          <w:rFonts w:asciiTheme="majorHAnsi" w:hAnsiTheme="majorHAnsi" w:cstheme="majorHAnsi"/>
          <w:b/>
          <w:bCs/>
          <w:sz w:val="24"/>
          <w:szCs w:val="24"/>
          <w:u w:val="single"/>
        </w:rPr>
        <w:t>Perfil de los participantes</w:t>
      </w:r>
      <w:r w:rsidR="008B1EF9" w:rsidRPr="008E6DEB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  <w:r w:rsidR="008B1EF9" w:rsidRPr="008E6DEB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97206A" w14:textId="39DD14CA" w:rsidR="008B1EF9" w:rsidRPr="008E6DEB" w:rsidRDefault="008B1EF9" w:rsidP="008B1EF9">
      <w:pPr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b/>
          <w:bCs/>
          <w:sz w:val="24"/>
          <w:szCs w:val="24"/>
        </w:rPr>
        <w:t>Graduados/as y estudiantes avanzados/as</w:t>
      </w:r>
      <w:r w:rsidRPr="008E6DEB">
        <w:rPr>
          <w:rFonts w:asciiTheme="majorHAnsi" w:hAnsiTheme="majorHAnsi" w:cstheme="majorHAnsi"/>
          <w:sz w:val="24"/>
          <w:szCs w:val="24"/>
        </w:rPr>
        <w:t xml:space="preserve"> de carreras como </w:t>
      </w:r>
      <w:r w:rsidR="008E6DEB" w:rsidRPr="008E6DEB">
        <w:rPr>
          <w:rFonts w:asciiTheme="majorHAnsi" w:hAnsiTheme="majorHAnsi" w:cstheme="majorHAnsi"/>
          <w:sz w:val="24"/>
          <w:szCs w:val="24"/>
        </w:rPr>
        <w:t xml:space="preserve">Medicina, Farmacia, Bioquímica, Ciencias Biológicas </w:t>
      </w:r>
      <w:r w:rsidRPr="008E6DEB">
        <w:rPr>
          <w:rFonts w:asciiTheme="majorHAnsi" w:hAnsiTheme="majorHAnsi" w:cstheme="majorHAnsi"/>
          <w:sz w:val="24"/>
          <w:szCs w:val="24"/>
        </w:rPr>
        <w:t>y afines.</w:t>
      </w:r>
    </w:p>
    <w:p w14:paraId="44C35BF9" w14:textId="63880CD1" w:rsidR="008B1EF9" w:rsidRPr="008E6DEB" w:rsidRDefault="008E6DEB" w:rsidP="008B1EF9">
      <w:pPr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b/>
          <w:bCs/>
          <w:sz w:val="24"/>
          <w:szCs w:val="24"/>
        </w:rPr>
        <w:t>Profesionales</w:t>
      </w:r>
      <w:r w:rsidRPr="008E6DEB">
        <w:rPr>
          <w:rFonts w:asciiTheme="majorHAnsi" w:hAnsiTheme="majorHAnsi" w:cstheme="majorHAnsi"/>
          <w:sz w:val="24"/>
          <w:szCs w:val="24"/>
        </w:rPr>
        <w:t xml:space="preserve"> que desarrollen su trabajo en I+D de la industria farmacéutica. </w:t>
      </w:r>
      <w:r w:rsidR="00ED3A46" w:rsidRPr="008E6DEB">
        <w:rPr>
          <w:rFonts w:asciiTheme="majorHAnsi" w:hAnsiTheme="majorHAnsi" w:cstheme="majorHAnsi"/>
          <w:sz w:val="24"/>
          <w:szCs w:val="24"/>
        </w:rPr>
        <w:br/>
      </w:r>
    </w:p>
    <w:p w14:paraId="032AE3E9" w14:textId="5A2AEABA" w:rsidR="00ED3A46" w:rsidRPr="008E6DEB" w:rsidRDefault="00ED3A46" w:rsidP="00ED3A46">
      <w:pPr>
        <w:rPr>
          <w:rFonts w:asciiTheme="majorHAnsi" w:hAnsiTheme="majorHAnsi" w:cstheme="majorHAnsi"/>
          <w:sz w:val="24"/>
          <w:szCs w:val="24"/>
          <w:u w:val="single"/>
        </w:rPr>
      </w:pPr>
      <w:r w:rsidRPr="008E6DE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Requisitos: </w:t>
      </w:r>
    </w:p>
    <w:p w14:paraId="3B8E4E35" w14:textId="69CF52D9" w:rsidR="00AC0C00" w:rsidRPr="008E6DEB" w:rsidRDefault="008E6DEB" w:rsidP="00ED3A46">
      <w:pPr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sz w:val="24"/>
          <w:szCs w:val="24"/>
        </w:rPr>
        <w:t>Se</w:t>
      </w:r>
      <w:r w:rsidR="008B1EF9" w:rsidRPr="008E6DEB">
        <w:rPr>
          <w:rFonts w:asciiTheme="majorHAnsi" w:hAnsiTheme="majorHAnsi" w:cstheme="majorHAnsi"/>
          <w:sz w:val="24"/>
          <w:szCs w:val="24"/>
        </w:rPr>
        <w:t xml:space="preserve"> requieren conocimientos </w:t>
      </w:r>
      <w:r w:rsidR="003C630D">
        <w:rPr>
          <w:rFonts w:asciiTheme="majorHAnsi" w:hAnsiTheme="majorHAnsi" w:cstheme="majorHAnsi"/>
          <w:sz w:val="24"/>
          <w:szCs w:val="24"/>
        </w:rPr>
        <w:t>básicos</w:t>
      </w:r>
      <w:r w:rsidR="008B1EF9" w:rsidRPr="008E6DEB">
        <w:rPr>
          <w:rFonts w:asciiTheme="majorHAnsi" w:hAnsiTheme="majorHAnsi" w:cstheme="majorHAnsi"/>
          <w:sz w:val="24"/>
          <w:szCs w:val="24"/>
        </w:rPr>
        <w:t xml:space="preserve"> de </w:t>
      </w:r>
      <w:r w:rsidRPr="008E6DEB">
        <w:rPr>
          <w:rFonts w:asciiTheme="majorHAnsi" w:hAnsiTheme="majorHAnsi" w:cstheme="majorHAnsi"/>
          <w:sz w:val="24"/>
          <w:szCs w:val="24"/>
        </w:rPr>
        <w:t xml:space="preserve">estructura de proteínas. </w:t>
      </w:r>
    </w:p>
    <w:p w14:paraId="427CE265" w14:textId="26355FC8" w:rsidR="008E6DEB" w:rsidRDefault="00E33938" w:rsidP="008E6DE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>Contenidos:</w:t>
      </w:r>
      <w:r w:rsidR="00ED3A46" w:rsidRPr="008E6DEB">
        <w:rPr>
          <w:rFonts w:asciiTheme="majorHAnsi" w:hAnsiTheme="majorHAnsi" w:cstheme="majorHAnsi"/>
          <w:b/>
          <w:sz w:val="24"/>
          <w:szCs w:val="24"/>
          <w:u w:val="single"/>
        </w:rPr>
        <w:br/>
      </w:r>
      <w:r w:rsidR="00ED3A46" w:rsidRPr="008E6DEB">
        <w:rPr>
          <w:rFonts w:asciiTheme="majorHAnsi" w:hAnsiTheme="majorHAnsi" w:cstheme="majorHAnsi"/>
          <w:b/>
          <w:sz w:val="24"/>
          <w:szCs w:val="24"/>
          <w:u w:val="single"/>
        </w:rPr>
        <w:br/>
      </w:r>
      <w:r w:rsidR="00883D6D">
        <w:rPr>
          <w:rFonts w:asciiTheme="majorHAnsi" w:hAnsiTheme="majorHAnsi" w:cstheme="majorHAnsi"/>
          <w:color w:val="000000"/>
          <w:sz w:val="24"/>
          <w:szCs w:val="24"/>
        </w:rPr>
        <w:t xml:space="preserve">Selección y priorización de Blancos Moleculares. </w:t>
      </w:r>
      <w:r w:rsidR="00883D6D">
        <w:t>conceptos de CRISPR/</w:t>
      </w:r>
      <w:proofErr w:type="spellStart"/>
      <w:r w:rsidR="00883D6D">
        <w:t>CRISPRi</w:t>
      </w:r>
      <w:proofErr w:type="spellEnd"/>
      <w:r w:rsidR="00883D6D">
        <w:t xml:space="preserve"> con el diseño bioinformático de guías para su validación experimental. </w:t>
      </w:r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 xml:space="preserve">Bases de datos de compuestos. Herramientas de manejo de estructura 2D y 3D en pequeñas moléculas. Algoritmos de </w:t>
      </w:r>
      <w:proofErr w:type="spellStart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Docking</w:t>
      </w:r>
      <w:proofErr w:type="spellEnd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 xml:space="preserve"> droga-proteína. Identificación de residuos </w:t>
      </w:r>
      <w:proofErr w:type="spellStart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hot</w:t>
      </w:r>
      <w:proofErr w:type="spellEnd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 xml:space="preserve">-spot. Funciones de </w:t>
      </w:r>
      <w:proofErr w:type="spellStart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Scoring</w:t>
      </w:r>
      <w:proofErr w:type="spellEnd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 xml:space="preserve">. </w:t>
      </w:r>
      <w:proofErr w:type="spellStart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Docking</w:t>
      </w:r>
      <w:proofErr w:type="spellEnd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 xml:space="preserve"> Virtual </w:t>
      </w:r>
      <w:proofErr w:type="spellStart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Highthrougput</w:t>
      </w:r>
      <w:proofErr w:type="spellEnd"/>
      <w:r w:rsidR="008E6DEB" w:rsidRPr="008E6DEB">
        <w:rPr>
          <w:rFonts w:asciiTheme="majorHAnsi" w:hAnsiTheme="majorHAnsi" w:cstheme="majorHAnsi"/>
          <w:color w:val="000000"/>
          <w:sz w:val="24"/>
          <w:szCs w:val="24"/>
        </w:rPr>
        <w:t>. Dinámica Molecular</w:t>
      </w:r>
    </w:p>
    <w:p w14:paraId="4BE3D459" w14:textId="77777777" w:rsidR="00E95574" w:rsidRPr="008E6DEB" w:rsidRDefault="00E95574" w:rsidP="008E6DE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202124"/>
          <w:sz w:val="24"/>
          <w:szCs w:val="24"/>
          <w:highlight w:val="white"/>
        </w:rPr>
      </w:pPr>
    </w:p>
    <w:p w14:paraId="5C9E610E" w14:textId="6FEEA29B" w:rsidR="00ED3A46" w:rsidRPr="008E6DEB" w:rsidRDefault="008E6DEB" w:rsidP="008E6DEB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8E6DEB">
        <w:rPr>
          <w:rFonts w:asciiTheme="majorHAnsi" w:hAnsiTheme="majorHAnsi" w:cstheme="majorHAnsi"/>
          <w:b/>
          <w:bCs/>
          <w:sz w:val="24"/>
          <w:szCs w:val="24"/>
        </w:rPr>
        <w:t xml:space="preserve">Cronograma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9"/>
        <w:gridCol w:w="7239"/>
      </w:tblGrid>
      <w:tr w:rsidR="00883D6D" w:rsidRPr="008E6DEB" w14:paraId="75DFF294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DCB674" w14:textId="0BC37D0C" w:rsidR="00883D6D" w:rsidRPr="008E6DEB" w:rsidRDefault="00883D6D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02/10/2025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C507687" w14:textId="2CE84F62" w:rsidR="00883D6D" w:rsidRPr="008E6DEB" w:rsidRDefault="00883D6D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83D6D">
              <w:rPr>
                <w:rFonts w:asciiTheme="majorHAnsi" w:hAnsiTheme="majorHAnsi" w:cstheme="majorHAnsi"/>
                <w:sz w:val="24"/>
                <w:szCs w:val="24"/>
              </w:rPr>
              <w:t>Selección y priorización de Blancos Moleculares y compuestos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candidatos (Teórica)</w:t>
            </w:r>
          </w:p>
        </w:tc>
      </w:tr>
      <w:tr w:rsidR="008E6DEB" w:rsidRPr="008E6DEB" w14:paraId="471A3C83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1FA17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07/10/2025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B421DE" w14:textId="316BE6A0" w:rsidR="008E6DEB" w:rsidRPr="008E6DEB" w:rsidRDefault="00883D6D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Validación experimental de Blancos Moleculares: CRISPR, CRISPRI (Teórica)</w:t>
            </w:r>
          </w:p>
        </w:tc>
      </w:tr>
      <w:tr w:rsidR="008E6DEB" w:rsidRPr="008E6DEB" w14:paraId="74F5EDF6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904C99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08/10/2025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D76FB6" w14:textId="6704F4A6" w:rsidR="008E6DEB" w:rsidRPr="008E6DEB" w:rsidRDefault="00883D6D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Diseño bioinformático de guías para </w:t>
            </w:r>
            <w:r w:rsidR="008E6DEB" w:rsidRPr="008E6DEB">
              <w:rPr>
                <w:rFonts w:asciiTheme="majorHAnsi" w:hAnsiTheme="majorHAnsi" w:cstheme="majorHAnsi"/>
                <w:sz w:val="24"/>
                <w:szCs w:val="24"/>
              </w:rPr>
              <w:t>CRISPR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(TP)</w:t>
            </w:r>
          </w:p>
        </w:tc>
      </w:tr>
      <w:tr w:rsidR="008E6DEB" w:rsidRPr="008E6DEB" w14:paraId="72BEF264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B6E663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09/10/2025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B12CB9" w14:textId="3E0712D3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Docking</w:t>
            </w:r>
            <w:proofErr w:type="spellEnd"/>
            <w:r w:rsidRPr="008E6DEB">
              <w:rPr>
                <w:rFonts w:asciiTheme="majorHAnsi" w:hAnsiTheme="majorHAnsi" w:cstheme="majorHAnsi"/>
                <w:sz w:val="24"/>
                <w:szCs w:val="24"/>
              </w:rPr>
              <w:t xml:space="preserve"> Molecular</w:t>
            </w:r>
            <w:r w:rsidR="00883D6D">
              <w:rPr>
                <w:rFonts w:asciiTheme="majorHAnsi" w:hAnsiTheme="majorHAnsi" w:cstheme="majorHAnsi"/>
                <w:sz w:val="24"/>
                <w:szCs w:val="24"/>
              </w:rPr>
              <w:t xml:space="preserve"> (Teórica)</w:t>
            </w:r>
          </w:p>
        </w:tc>
      </w:tr>
      <w:tr w:rsidR="008E6DEB" w:rsidRPr="008E6DEB" w14:paraId="40D61947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65D5C0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14/10/2025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C5DE1F" w14:textId="42967388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Docking</w:t>
            </w:r>
            <w:proofErr w:type="spellEnd"/>
            <w:r w:rsidRPr="008E6DEB">
              <w:rPr>
                <w:rFonts w:asciiTheme="majorHAnsi" w:hAnsiTheme="majorHAnsi" w:cstheme="majorHAnsi"/>
                <w:sz w:val="24"/>
                <w:szCs w:val="24"/>
              </w:rPr>
              <w:t xml:space="preserve"> Molecular</w:t>
            </w:r>
            <w:r w:rsidR="00883D6D">
              <w:rPr>
                <w:rFonts w:asciiTheme="majorHAnsi" w:hAnsiTheme="majorHAnsi" w:cstheme="majorHAnsi"/>
                <w:sz w:val="24"/>
                <w:szCs w:val="24"/>
              </w:rPr>
              <w:t xml:space="preserve"> (TP)</w:t>
            </w:r>
          </w:p>
        </w:tc>
      </w:tr>
      <w:tr w:rsidR="008E6DEB" w:rsidRPr="008E6DEB" w14:paraId="252F7452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948D3C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15/10/2025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FB2BD7" w14:textId="7D1A2574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Dinámica Molecular</w:t>
            </w:r>
            <w:r w:rsidR="00883D6D">
              <w:rPr>
                <w:rFonts w:asciiTheme="majorHAnsi" w:hAnsiTheme="majorHAnsi" w:cstheme="majorHAnsi"/>
                <w:sz w:val="24"/>
                <w:szCs w:val="24"/>
              </w:rPr>
              <w:t xml:space="preserve"> (Teórica)</w:t>
            </w:r>
          </w:p>
        </w:tc>
      </w:tr>
      <w:tr w:rsidR="008E6DEB" w:rsidRPr="008E6DEB" w14:paraId="474A7B35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8E3BDE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16/10/2025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9B7176" w14:textId="71A73B75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Dinámica Molecular</w:t>
            </w:r>
            <w:r w:rsidR="00883D6D">
              <w:rPr>
                <w:rFonts w:asciiTheme="majorHAnsi" w:hAnsiTheme="majorHAnsi" w:cstheme="majorHAnsi"/>
                <w:sz w:val="24"/>
                <w:szCs w:val="24"/>
              </w:rPr>
              <w:t xml:space="preserve"> (TP)</w:t>
            </w:r>
          </w:p>
        </w:tc>
      </w:tr>
      <w:tr w:rsidR="008E6DEB" w:rsidRPr="008E6DEB" w14:paraId="1DFD7FA7" w14:textId="77777777" w:rsidTr="008E6DE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6578BF" w14:textId="77777777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21/10/2025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vAlign w:val="bottom"/>
            <w:hideMark/>
          </w:tcPr>
          <w:p w14:paraId="42D5FEB8" w14:textId="254D49D8" w:rsidR="008E6DEB" w:rsidRPr="008E6DEB" w:rsidRDefault="008E6DEB" w:rsidP="008E6DE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E6DEB">
              <w:rPr>
                <w:rFonts w:asciiTheme="majorHAnsi" w:hAnsiTheme="majorHAnsi" w:cstheme="majorHAnsi"/>
                <w:sz w:val="24"/>
                <w:szCs w:val="24"/>
              </w:rPr>
              <w:t>Examen</w:t>
            </w:r>
          </w:p>
        </w:tc>
      </w:tr>
    </w:tbl>
    <w:p w14:paraId="45E84475" w14:textId="77777777" w:rsidR="008E6DEB" w:rsidRPr="008E6DEB" w:rsidRDefault="008E6DEB" w:rsidP="008E6DEB">
      <w:pPr>
        <w:rPr>
          <w:rFonts w:asciiTheme="majorHAnsi" w:hAnsiTheme="majorHAnsi" w:cstheme="majorHAnsi"/>
          <w:sz w:val="24"/>
          <w:szCs w:val="24"/>
        </w:rPr>
      </w:pPr>
    </w:p>
    <w:p w14:paraId="13372BC1" w14:textId="77777777" w:rsidR="00AC0C00" w:rsidRPr="00E95574" w:rsidRDefault="00E33938">
      <w:pPr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E95574">
        <w:rPr>
          <w:rFonts w:asciiTheme="majorHAnsi" w:hAnsiTheme="majorHAnsi" w:cstheme="majorHAnsi"/>
          <w:b/>
          <w:sz w:val="24"/>
          <w:szCs w:val="24"/>
          <w:u w:val="single"/>
        </w:rPr>
        <w:t xml:space="preserve">Distribución horaria: </w:t>
      </w:r>
    </w:p>
    <w:p w14:paraId="1FCC1871" w14:textId="1C469D1A" w:rsidR="008E6DEB" w:rsidRPr="008E6DEB" w:rsidRDefault="008E6DEB">
      <w:pPr>
        <w:shd w:val="clear" w:color="auto" w:fill="FFFFFF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8E6DEB">
        <w:rPr>
          <w:rFonts w:asciiTheme="majorHAnsi" w:hAnsiTheme="majorHAnsi" w:cstheme="majorHAnsi"/>
          <w:bCs/>
          <w:sz w:val="24"/>
          <w:szCs w:val="24"/>
        </w:rPr>
        <w:t xml:space="preserve">Las clases se desarrollarán en modalidad virtual sincrónica, los días martes, miércoles y jueves en el horario de 18 a 21 horas durante 15 encuentros. Se espera que los alumnos </w:t>
      </w:r>
      <w:r w:rsidR="00215BE8">
        <w:rPr>
          <w:rFonts w:asciiTheme="majorHAnsi" w:hAnsiTheme="majorHAnsi" w:cstheme="majorHAnsi"/>
          <w:bCs/>
          <w:sz w:val="24"/>
          <w:szCs w:val="24"/>
        </w:rPr>
        <w:t>dediquen</w:t>
      </w:r>
      <w:r w:rsidRPr="008E6DEB">
        <w:rPr>
          <w:rFonts w:asciiTheme="majorHAnsi" w:hAnsiTheme="majorHAnsi" w:cstheme="majorHAnsi"/>
          <w:bCs/>
          <w:sz w:val="24"/>
          <w:szCs w:val="24"/>
        </w:rPr>
        <w:t xml:space="preserve"> 3 horas semanales de trabajo asincrónico </w:t>
      </w:r>
      <w:r w:rsidR="00215BE8">
        <w:rPr>
          <w:rFonts w:asciiTheme="majorHAnsi" w:hAnsiTheme="majorHAnsi" w:cstheme="majorHAnsi"/>
          <w:bCs/>
          <w:sz w:val="24"/>
          <w:szCs w:val="24"/>
        </w:rPr>
        <w:t>destinado a</w:t>
      </w:r>
      <w:r w:rsidRPr="008E6DEB">
        <w:rPr>
          <w:rFonts w:asciiTheme="majorHAnsi" w:hAnsiTheme="majorHAnsi" w:cstheme="majorHAnsi"/>
          <w:bCs/>
          <w:sz w:val="24"/>
          <w:szCs w:val="24"/>
        </w:rPr>
        <w:t xml:space="preserve"> resolver </w:t>
      </w:r>
      <w:r w:rsidR="00215BE8">
        <w:rPr>
          <w:rFonts w:asciiTheme="majorHAnsi" w:hAnsiTheme="majorHAnsi" w:cstheme="majorHAnsi"/>
          <w:bCs/>
          <w:sz w:val="24"/>
          <w:szCs w:val="24"/>
        </w:rPr>
        <w:t>actividades</w:t>
      </w:r>
      <w:r w:rsidRPr="008E6DEB">
        <w:rPr>
          <w:rFonts w:asciiTheme="majorHAnsi" w:hAnsiTheme="majorHAnsi" w:cstheme="majorHAnsi"/>
          <w:bCs/>
          <w:sz w:val="24"/>
          <w:szCs w:val="24"/>
        </w:rPr>
        <w:t xml:space="preserve"> de manera individual e interacción asincrónica con los docentes. </w:t>
      </w:r>
    </w:p>
    <w:p w14:paraId="38AD4A35" w14:textId="1B0E5F93" w:rsidR="008E6DEB" w:rsidRPr="008E6DEB" w:rsidRDefault="008E6DEB" w:rsidP="008E6DEB">
      <w:pPr>
        <w:jc w:val="both"/>
        <w:rPr>
          <w:rFonts w:asciiTheme="majorHAnsi" w:hAnsiTheme="majorHAnsi" w:cstheme="majorHAnsi"/>
          <w:b/>
          <w:sz w:val="24"/>
          <w:szCs w:val="24"/>
        </w:rPr>
      </w:pPr>
      <w:r w:rsidRPr="008E6DEB">
        <w:rPr>
          <w:rFonts w:asciiTheme="majorHAnsi" w:hAnsiTheme="majorHAnsi" w:cstheme="majorHAnsi"/>
          <w:b/>
          <w:sz w:val="24"/>
          <w:szCs w:val="24"/>
        </w:rPr>
        <w:t>Organización del dictado de la materia, estrategias de enseñanza a implementar y herramientas didácticas a aplicar en cada bloque:</w:t>
      </w:r>
    </w:p>
    <w:p w14:paraId="247E2C1C" w14:textId="77777777" w:rsidR="008E6DEB" w:rsidRPr="008E6DEB" w:rsidRDefault="008E6DEB" w:rsidP="008E6DEB">
      <w:pPr>
        <w:jc w:val="both"/>
        <w:rPr>
          <w:rFonts w:asciiTheme="majorHAnsi" w:hAnsiTheme="majorHAnsi" w:cstheme="majorHAnsi"/>
          <w:bCs/>
          <w:sz w:val="24"/>
          <w:szCs w:val="24"/>
        </w:rPr>
      </w:pPr>
      <w:r w:rsidRPr="008E6DEB">
        <w:rPr>
          <w:rFonts w:asciiTheme="majorHAnsi" w:hAnsiTheme="majorHAnsi" w:cstheme="majorHAnsi"/>
          <w:bCs/>
          <w:sz w:val="24"/>
          <w:szCs w:val="24"/>
        </w:rPr>
        <w:t>La propuesta pedagógica contempla una combinación de clases teóricas, instancias prácticas y resolución de problemas, promoviendo una formación integral y participativa.</w:t>
      </w:r>
    </w:p>
    <w:p w14:paraId="74700088" w14:textId="2D770723" w:rsidR="008E6DEB" w:rsidRPr="00215BE8" w:rsidRDefault="00215BE8" w:rsidP="008E6DEB">
      <w:pPr>
        <w:jc w:val="both"/>
        <w:rPr>
          <w:rFonts w:asciiTheme="majorHAnsi" w:hAnsiTheme="majorHAnsi" w:cstheme="majorHAnsi"/>
          <w:b/>
          <w:sz w:val="24"/>
          <w:szCs w:val="24"/>
          <w:highlight w:val="yellow"/>
        </w:rPr>
      </w:pPr>
      <w:r w:rsidRPr="00215BE8">
        <w:rPr>
          <w:rFonts w:asciiTheme="majorHAnsi" w:hAnsiTheme="majorHAnsi" w:cstheme="majorHAnsi"/>
          <w:b/>
          <w:sz w:val="24"/>
          <w:szCs w:val="24"/>
        </w:rPr>
        <w:t xml:space="preserve">A fin de aprobar el curso de realizará una evaluación de los conocimientos adquiridos. </w:t>
      </w:r>
    </w:p>
    <w:p w14:paraId="60A6462E" w14:textId="60E60C3A" w:rsidR="00AC0C00" w:rsidRPr="008E6DEB" w:rsidRDefault="00E33938" w:rsidP="008E6DEB">
      <w:pPr>
        <w:jc w:val="both"/>
        <w:rPr>
          <w:rFonts w:asciiTheme="majorHAnsi" w:hAnsiTheme="majorHAnsi" w:cstheme="majorHAnsi"/>
          <w:b/>
          <w:sz w:val="24"/>
          <w:szCs w:val="24"/>
        </w:rPr>
      </w:pP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>Certificación:</w:t>
      </w:r>
      <w:r w:rsidRPr="008E6DEB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65DF3F94" w14:textId="752CB2B1" w:rsidR="00AC0C00" w:rsidRPr="008E6DEB" w:rsidRDefault="008E6DEB">
      <w:pPr>
        <w:jc w:val="both"/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sz w:val="24"/>
          <w:szCs w:val="24"/>
        </w:rPr>
        <w:t xml:space="preserve">Se entregará certificado de asistencia. En el caso de aprobación </w:t>
      </w:r>
      <w:proofErr w:type="gramStart"/>
      <w:r w:rsidRPr="008E6DEB">
        <w:rPr>
          <w:rFonts w:asciiTheme="majorHAnsi" w:hAnsiTheme="majorHAnsi" w:cstheme="majorHAnsi"/>
          <w:sz w:val="24"/>
          <w:szCs w:val="24"/>
        </w:rPr>
        <w:t>de</w:t>
      </w:r>
      <w:r w:rsidR="00215BE8">
        <w:rPr>
          <w:rFonts w:asciiTheme="majorHAnsi" w:hAnsiTheme="majorHAnsi" w:cstheme="majorHAnsi"/>
          <w:sz w:val="24"/>
          <w:szCs w:val="24"/>
        </w:rPr>
        <w:t>la</w:t>
      </w:r>
      <w:proofErr w:type="gramEnd"/>
      <w:r w:rsidR="00215BE8">
        <w:rPr>
          <w:rFonts w:asciiTheme="majorHAnsi" w:hAnsiTheme="majorHAnsi" w:cstheme="majorHAnsi"/>
          <w:sz w:val="24"/>
          <w:szCs w:val="24"/>
        </w:rPr>
        <w:t xml:space="preserve"> evaluación</w:t>
      </w:r>
      <w:r w:rsidRPr="008E6DEB">
        <w:rPr>
          <w:rFonts w:asciiTheme="majorHAnsi" w:hAnsiTheme="majorHAnsi" w:cstheme="majorHAnsi"/>
          <w:sz w:val="24"/>
          <w:szCs w:val="24"/>
        </w:rPr>
        <w:t xml:space="preserve"> se entregará certificado de aprobación del curso. </w:t>
      </w:r>
    </w:p>
    <w:p w14:paraId="40970E0C" w14:textId="77777777" w:rsidR="00AC0C00" w:rsidRPr="008E6DEB" w:rsidRDefault="00E33938">
      <w:pPr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8E6DEB">
        <w:rPr>
          <w:rFonts w:asciiTheme="majorHAnsi" w:hAnsiTheme="majorHAnsi" w:cstheme="majorHAnsi"/>
          <w:b/>
          <w:sz w:val="24"/>
          <w:szCs w:val="24"/>
          <w:u w:val="single"/>
        </w:rPr>
        <w:t xml:space="preserve"> Apertura del curso y política de vacantes:</w:t>
      </w:r>
    </w:p>
    <w:p w14:paraId="7E02B0CE" w14:textId="77777777" w:rsidR="00AC0C00" w:rsidRPr="008E6DEB" w:rsidRDefault="00E33938">
      <w:pPr>
        <w:jc w:val="both"/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sz w:val="24"/>
          <w:szCs w:val="24"/>
        </w:rPr>
        <w:t>Para el dictado del curso se requiere un mínimo de inscriptos. De lo contrario el curso será reprogramado avisando a los preinscriptos / inscriptos vía e-mail.</w:t>
      </w:r>
    </w:p>
    <w:p w14:paraId="4845D5DB" w14:textId="77777777" w:rsidR="00AC0C00" w:rsidRDefault="00E33938">
      <w:pPr>
        <w:jc w:val="both"/>
        <w:rPr>
          <w:rFonts w:asciiTheme="majorHAnsi" w:hAnsiTheme="majorHAnsi" w:cstheme="majorHAnsi"/>
          <w:sz w:val="24"/>
          <w:szCs w:val="24"/>
        </w:rPr>
      </w:pPr>
      <w:r w:rsidRPr="008E6DEB">
        <w:rPr>
          <w:rFonts w:asciiTheme="majorHAnsi" w:hAnsiTheme="majorHAnsi" w:cstheme="majorHAnsi"/>
          <w:sz w:val="24"/>
          <w:szCs w:val="24"/>
        </w:rPr>
        <w:t>El IUDPT se reserva el derecho de reprogramar o cancelar el curso según lo disponga, hasta llegar a la cantidad de inscriptos mínima.</w:t>
      </w:r>
    </w:p>
    <w:p w14:paraId="6E6FB3E8" w14:textId="77777777" w:rsidR="00E95574" w:rsidRPr="00E95574" w:rsidRDefault="00E95574" w:rsidP="00E95574">
      <w:pPr>
        <w:shd w:val="clear" w:color="auto" w:fill="FFFFFF"/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E95574">
        <w:rPr>
          <w:rFonts w:asciiTheme="majorHAnsi" w:eastAsia="Times New Roman" w:hAnsiTheme="majorHAnsi" w:cstheme="majorHAnsi"/>
          <w:b/>
          <w:sz w:val="24"/>
          <w:szCs w:val="24"/>
          <w:u w:val="single"/>
        </w:rPr>
        <w:t>Bibliografía del curso:</w:t>
      </w:r>
    </w:p>
    <w:p w14:paraId="4E55B0E2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  <w:lang w:val="en-US"/>
        </w:rPr>
      </w:pPr>
      <w:proofErr w:type="spellStart"/>
      <w:r w:rsidRPr="00E95574">
        <w:rPr>
          <w:rFonts w:asciiTheme="majorHAnsi" w:hAnsiTheme="majorHAnsi" w:cstheme="majorHAnsi"/>
          <w:sz w:val="24"/>
          <w:szCs w:val="24"/>
        </w:rPr>
        <w:t>Marti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M. A.,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Turjanski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A. G., &amp; Fernández Do Porto, D. (Eds.) </w:t>
      </w:r>
      <w:r w:rsidRPr="00E95574">
        <w:rPr>
          <w:rFonts w:asciiTheme="majorHAnsi" w:hAnsiTheme="majorHAnsi" w:cstheme="majorHAnsi"/>
          <w:sz w:val="24"/>
          <w:szCs w:val="24"/>
          <w:lang w:val="en-US"/>
        </w:rPr>
        <w:t>(2024). Structure</w:t>
      </w:r>
      <w:r w:rsidRPr="00E95574">
        <w:rPr>
          <w:rFonts w:ascii="Cambria Math" w:hAnsi="Cambria Math" w:cs="Cambria Math"/>
          <w:sz w:val="24"/>
          <w:szCs w:val="24"/>
          <w:lang w:val="en-US"/>
        </w:rPr>
        <w:t>‑</w:t>
      </w:r>
      <w:r w:rsidRPr="00E95574">
        <w:rPr>
          <w:rFonts w:asciiTheme="majorHAnsi" w:hAnsiTheme="majorHAnsi" w:cstheme="majorHAnsi"/>
          <w:sz w:val="24"/>
          <w:szCs w:val="24"/>
          <w:lang w:val="en-US"/>
        </w:rPr>
        <w:t>Based Drug Design. En Computer</w:t>
      </w:r>
      <w:r w:rsidRPr="00E95574">
        <w:rPr>
          <w:rFonts w:ascii="Cambria Math" w:hAnsi="Cambria Math" w:cs="Cambria Math"/>
          <w:sz w:val="24"/>
          <w:szCs w:val="24"/>
          <w:lang w:val="en-US"/>
        </w:rPr>
        <w:t>‑</w:t>
      </w:r>
      <w:r w:rsidRPr="00E95574">
        <w:rPr>
          <w:rFonts w:asciiTheme="majorHAnsi" w:hAnsiTheme="majorHAnsi" w:cstheme="majorHAnsi"/>
          <w:sz w:val="24"/>
          <w:szCs w:val="24"/>
          <w:lang w:val="en-US"/>
        </w:rPr>
        <w:t xml:space="preserve">Aided Drug Discovery and Design, </w:t>
      </w:r>
    </w:p>
    <w:p w14:paraId="486FB3A1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  <w:lang w:val="en-US"/>
        </w:rPr>
      </w:pPr>
      <w:r w:rsidRPr="00E95574">
        <w:rPr>
          <w:rFonts w:asciiTheme="majorHAnsi" w:hAnsiTheme="majorHAnsi" w:cstheme="majorHAnsi"/>
          <w:sz w:val="24"/>
          <w:szCs w:val="24"/>
          <w:lang w:val="en-US"/>
        </w:rPr>
        <w:t>Jumper, J., Evans, R., Pritzel, A., Green, T., Figurnov, M., Ronneberger, O., ... &amp; Hassabis, D. (2021). Highly accurate protein structure prediction with AlphaFold. Nature, 596(7873), 583–589.</w:t>
      </w:r>
    </w:p>
    <w:p w14:paraId="004B060D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</w:rPr>
      </w:pPr>
      <w:r w:rsidRPr="00E95574">
        <w:rPr>
          <w:rFonts w:asciiTheme="majorHAnsi" w:hAnsiTheme="majorHAnsi" w:cstheme="majorHAnsi"/>
          <w:sz w:val="24"/>
          <w:szCs w:val="24"/>
          <w:lang w:val="en-US"/>
        </w:rPr>
        <w:lastRenderedPageBreak/>
        <w:t xml:space="preserve">Leman, J. K., Weitzner, B. D., Lewis, S. M., Adolf-Bryfogle, J., Alam, N., Alford, R. F., ... &amp; Gray, J. J. (2020). Macromolecular modeling and design in Rosetta: recent methods and frameworks.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Nature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Methods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>, 17(7), 665–680.</w:t>
      </w:r>
    </w:p>
    <w:p w14:paraId="5933DD0A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  <w:lang w:val="en-US"/>
        </w:rPr>
      </w:pPr>
      <w:r w:rsidRPr="00E95574">
        <w:rPr>
          <w:rFonts w:asciiTheme="majorHAnsi" w:hAnsiTheme="majorHAnsi" w:cstheme="majorHAnsi"/>
          <w:sz w:val="24"/>
          <w:szCs w:val="24"/>
        </w:rPr>
        <w:t xml:space="preserve">Sosa, E. J.,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Burguener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G.,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Lanzarotti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E.,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Defelipe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L.,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Radusky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L., Pardo, A. M., Martí, M. A.,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Turjanski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, A. G., &amp; Fernández Do Porto, D. A. (2018). </w:t>
      </w:r>
      <w:r w:rsidRPr="00E95574">
        <w:rPr>
          <w:rFonts w:asciiTheme="majorHAnsi" w:hAnsiTheme="majorHAnsi" w:cstheme="majorHAnsi"/>
          <w:sz w:val="24"/>
          <w:szCs w:val="24"/>
          <w:lang w:val="en-US"/>
        </w:rPr>
        <w:t>Target-Pathogen: a structural bioinformatic approach to prioritize drug targets in pathogens. Nucleic Acids Research, 46(Database issue), D413–D418. doi:10.1093/</w:t>
      </w:r>
      <w:proofErr w:type="spellStart"/>
      <w:r w:rsidRPr="00E95574">
        <w:rPr>
          <w:rFonts w:asciiTheme="majorHAnsi" w:hAnsiTheme="majorHAnsi" w:cstheme="majorHAnsi"/>
          <w:sz w:val="24"/>
          <w:szCs w:val="24"/>
          <w:lang w:val="en-US"/>
        </w:rPr>
        <w:t>nar</w:t>
      </w:r>
      <w:proofErr w:type="spellEnd"/>
      <w:r w:rsidRPr="00E95574">
        <w:rPr>
          <w:rFonts w:asciiTheme="majorHAnsi" w:hAnsiTheme="majorHAnsi" w:cstheme="majorHAnsi"/>
          <w:sz w:val="24"/>
          <w:szCs w:val="24"/>
          <w:lang w:val="en-US"/>
        </w:rPr>
        <w:t xml:space="preserve">/gkx1015 Le Guilloux, V., Schmidtke, P., &amp; </w:t>
      </w:r>
      <w:proofErr w:type="spellStart"/>
      <w:r w:rsidRPr="00E95574">
        <w:rPr>
          <w:rFonts w:asciiTheme="majorHAnsi" w:hAnsiTheme="majorHAnsi" w:cstheme="majorHAnsi"/>
          <w:sz w:val="24"/>
          <w:szCs w:val="24"/>
          <w:lang w:val="en-US"/>
        </w:rPr>
        <w:t>Tuffery</w:t>
      </w:r>
      <w:proofErr w:type="spellEnd"/>
      <w:r w:rsidRPr="00E95574">
        <w:rPr>
          <w:rFonts w:asciiTheme="majorHAnsi" w:hAnsiTheme="majorHAnsi" w:cstheme="majorHAnsi"/>
          <w:sz w:val="24"/>
          <w:szCs w:val="24"/>
          <w:lang w:val="en-US"/>
        </w:rPr>
        <w:t xml:space="preserve">, P. (2009). </w:t>
      </w:r>
      <w:proofErr w:type="spellStart"/>
      <w:r w:rsidRPr="00E95574">
        <w:rPr>
          <w:rFonts w:asciiTheme="majorHAnsi" w:hAnsiTheme="majorHAnsi" w:cstheme="majorHAnsi"/>
          <w:sz w:val="24"/>
          <w:szCs w:val="24"/>
          <w:lang w:val="en-US"/>
        </w:rPr>
        <w:t>Fpocket</w:t>
      </w:r>
      <w:proofErr w:type="spellEnd"/>
      <w:r w:rsidRPr="00E95574">
        <w:rPr>
          <w:rFonts w:asciiTheme="majorHAnsi" w:hAnsiTheme="majorHAnsi" w:cstheme="majorHAnsi"/>
          <w:sz w:val="24"/>
          <w:szCs w:val="24"/>
          <w:lang w:val="en-US"/>
        </w:rPr>
        <w:t>: An open source platform for ligand pocket detection. BMC Bioinformatics, 10, 168. doi:10.1186/1471-2105-10-168</w:t>
      </w:r>
    </w:p>
    <w:p w14:paraId="35B3AAF1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  <w:lang w:val="en-US"/>
        </w:rPr>
      </w:pPr>
      <w:r w:rsidRPr="00E95574">
        <w:rPr>
          <w:rFonts w:asciiTheme="majorHAnsi" w:hAnsiTheme="majorHAnsi" w:cstheme="majorHAnsi"/>
          <w:sz w:val="24"/>
          <w:szCs w:val="24"/>
          <w:lang w:val="en-US"/>
        </w:rPr>
        <w:t xml:space="preserve">Krivák, R., &amp; </w:t>
      </w:r>
      <w:proofErr w:type="spellStart"/>
      <w:r w:rsidRPr="00E95574">
        <w:rPr>
          <w:rFonts w:asciiTheme="majorHAnsi" w:hAnsiTheme="majorHAnsi" w:cstheme="majorHAnsi"/>
          <w:sz w:val="24"/>
          <w:szCs w:val="24"/>
          <w:lang w:val="en-US"/>
        </w:rPr>
        <w:t>Hoksza</w:t>
      </w:r>
      <w:proofErr w:type="spellEnd"/>
      <w:r w:rsidRPr="00E95574">
        <w:rPr>
          <w:rFonts w:asciiTheme="majorHAnsi" w:hAnsiTheme="majorHAnsi" w:cstheme="majorHAnsi"/>
          <w:sz w:val="24"/>
          <w:szCs w:val="24"/>
          <w:lang w:val="en-US"/>
        </w:rPr>
        <w:t>, D. (2018). P2Rank: machine learning based tool for rapid and accurate prediction of ligand binding sites from protein structure. Journal of Cheminformatics, 10, 39. doi:10.1186/s13321-018-0285-8</w:t>
      </w:r>
    </w:p>
    <w:p w14:paraId="48B1AD67" w14:textId="77777777" w:rsidR="00E95574" w:rsidRPr="00E95574" w:rsidRDefault="00E95574" w:rsidP="00E95574">
      <w:pPr>
        <w:rPr>
          <w:rFonts w:asciiTheme="majorHAnsi" w:hAnsiTheme="majorHAnsi" w:cstheme="majorHAnsi"/>
          <w:sz w:val="24"/>
          <w:szCs w:val="24"/>
        </w:rPr>
      </w:pPr>
      <w:r w:rsidRPr="00E95574">
        <w:rPr>
          <w:rFonts w:asciiTheme="majorHAnsi" w:hAnsiTheme="majorHAnsi" w:cstheme="majorHAnsi"/>
          <w:sz w:val="24"/>
          <w:szCs w:val="24"/>
          <w:lang w:val="en-US"/>
        </w:rPr>
        <w:t xml:space="preserve">wwPDB Consortium. (2024). Protein Data Bank: Celebrating 53 years of open access and expanding partnerships worldwide.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Nucleic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Acids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Research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>, 52(D1), D1201–D1210. doi:10.1093/</w:t>
      </w:r>
      <w:proofErr w:type="spellStart"/>
      <w:r w:rsidRPr="00E95574">
        <w:rPr>
          <w:rFonts w:asciiTheme="majorHAnsi" w:hAnsiTheme="majorHAnsi" w:cstheme="majorHAnsi"/>
          <w:sz w:val="24"/>
          <w:szCs w:val="24"/>
        </w:rPr>
        <w:t>nar</w:t>
      </w:r>
      <w:proofErr w:type="spellEnd"/>
      <w:r w:rsidRPr="00E95574">
        <w:rPr>
          <w:rFonts w:asciiTheme="majorHAnsi" w:hAnsiTheme="majorHAnsi" w:cstheme="majorHAnsi"/>
          <w:sz w:val="24"/>
          <w:szCs w:val="24"/>
        </w:rPr>
        <w:t>/gkad1015</w:t>
      </w:r>
    </w:p>
    <w:p w14:paraId="5960B795" w14:textId="77777777" w:rsidR="00E95574" w:rsidRPr="008E6DEB" w:rsidRDefault="00E95574">
      <w:pPr>
        <w:jc w:val="both"/>
        <w:rPr>
          <w:rFonts w:asciiTheme="majorHAnsi" w:hAnsiTheme="majorHAnsi" w:cstheme="majorHAnsi"/>
          <w:sz w:val="24"/>
          <w:szCs w:val="24"/>
        </w:rPr>
      </w:pPr>
    </w:p>
    <w:sectPr w:rsidR="00E95574" w:rsidRPr="008E6DEB">
      <w:headerReference w:type="default" r:id="rId8"/>
      <w:footerReference w:type="default" r:id="rId9"/>
      <w:pgSz w:w="11906" w:h="16838"/>
      <w:pgMar w:top="1823" w:right="1701" w:bottom="1417" w:left="1701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ECC02" w14:textId="77777777" w:rsidR="00C21988" w:rsidRDefault="00C21988">
      <w:pPr>
        <w:spacing w:after="0" w:line="240" w:lineRule="auto"/>
      </w:pPr>
      <w:r>
        <w:separator/>
      </w:r>
    </w:p>
  </w:endnote>
  <w:endnote w:type="continuationSeparator" w:id="0">
    <w:p w14:paraId="290EFB8B" w14:textId="77777777" w:rsidR="00C21988" w:rsidRDefault="00C21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23B01" w14:textId="77777777" w:rsidR="00AC0C00" w:rsidRDefault="00E339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20501AA6" wp14:editId="3C1B245A">
          <wp:simplePos x="0" y="0"/>
          <wp:positionH relativeFrom="column">
            <wp:posOffset>-1080134</wp:posOffset>
          </wp:positionH>
          <wp:positionV relativeFrom="paragraph">
            <wp:posOffset>-289559</wp:posOffset>
          </wp:positionV>
          <wp:extent cx="7524000" cy="980666"/>
          <wp:effectExtent l="0" t="0" r="0" b="0"/>
          <wp:wrapSquare wrapText="bothSides" distT="0" distB="0" distL="114300" distR="11430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000" cy="980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A52F3" w14:textId="77777777" w:rsidR="00C21988" w:rsidRDefault="00C21988">
      <w:pPr>
        <w:spacing w:after="0" w:line="240" w:lineRule="auto"/>
      </w:pPr>
      <w:r>
        <w:separator/>
      </w:r>
    </w:p>
  </w:footnote>
  <w:footnote w:type="continuationSeparator" w:id="0">
    <w:p w14:paraId="2DBDBD89" w14:textId="77777777" w:rsidR="00C21988" w:rsidRDefault="00C21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FCAE0" w14:textId="77777777" w:rsidR="00AC0C00" w:rsidRDefault="00E339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63BF2DB" wp14:editId="54E096E5">
          <wp:simplePos x="0" y="0"/>
          <wp:positionH relativeFrom="column">
            <wp:posOffset>-4632959</wp:posOffset>
          </wp:positionH>
          <wp:positionV relativeFrom="paragraph">
            <wp:posOffset>-431164</wp:posOffset>
          </wp:positionV>
          <wp:extent cx="29866972" cy="14400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866972" cy="144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709B924" wp14:editId="5B106DC6">
          <wp:simplePos x="0" y="0"/>
          <wp:positionH relativeFrom="column">
            <wp:posOffset>-784859</wp:posOffset>
          </wp:positionH>
          <wp:positionV relativeFrom="paragraph">
            <wp:posOffset>-168274</wp:posOffset>
          </wp:positionV>
          <wp:extent cx="1566545" cy="548640"/>
          <wp:effectExtent l="0" t="0" r="0" b="0"/>
          <wp:wrapSquare wrapText="bothSides" distT="0" distB="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66545" cy="548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17951"/>
    <w:multiLevelType w:val="multilevel"/>
    <w:tmpl w:val="C4FC6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E332BD"/>
    <w:multiLevelType w:val="multilevel"/>
    <w:tmpl w:val="65D62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66ADA"/>
    <w:multiLevelType w:val="multilevel"/>
    <w:tmpl w:val="E5081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2534AA"/>
    <w:multiLevelType w:val="multilevel"/>
    <w:tmpl w:val="389E4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372E70"/>
    <w:multiLevelType w:val="multilevel"/>
    <w:tmpl w:val="5572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8A1936"/>
    <w:multiLevelType w:val="multilevel"/>
    <w:tmpl w:val="C958B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1A22DF"/>
    <w:multiLevelType w:val="multilevel"/>
    <w:tmpl w:val="F8821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271474"/>
    <w:multiLevelType w:val="multilevel"/>
    <w:tmpl w:val="9FFAA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06533A"/>
    <w:multiLevelType w:val="hybridMultilevel"/>
    <w:tmpl w:val="6464C9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300F40"/>
    <w:multiLevelType w:val="multilevel"/>
    <w:tmpl w:val="5E928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1C7593"/>
    <w:multiLevelType w:val="hybridMultilevel"/>
    <w:tmpl w:val="F7587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44C6A"/>
    <w:multiLevelType w:val="multilevel"/>
    <w:tmpl w:val="9048A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0A374C"/>
    <w:multiLevelType w:val="multilevel"/>
    <w:tmpl w:val="332CB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C17BF4"/>
    <w:multiLevelType w:val="multilevel"/>
    <w:tmpl w:val="4676B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3362464">
    <w:abstractNumId w:val="12"/>
  </w:num>
  <w:num w:numId="2" w16cid:durableId="345668632">
    <w:abstractNumId w:val="4"/>
  </w:num>
  <w:num w:numId="3" w16cid:durableId="537016081">
    <w:abstractNumId w:val="8"/>
  </w:num>
  <w:num w:numId="4" w16cid:durableId="31421203">
    <w:abstractNumId w:val="1"/>
  </w:num>
  <w:num w:numId="5" w16cid:durableId="176845418">
    <w:abstractNumId w:val="0"/>
  </w:num>
  <w:num w:numId="6" w16cid:durableId="1292126496">
    <w:abstractNumId w:val="13"/>
  </w:num>
  <w:num w:numId="7" w16cid:durableId="1681392839">
    <w:abstractNumId w:val="2"/>
  </w:num>
  <w:num w:numId="8" w16cid:durableId="749696700">
    <w:abstractNumId w:val="11"/>
  </w:num>
  <w:num w:numId="9" w16cid:durableId="1255670139">
    <w:abstractNumId w:val="6"/>
  </w:num>
  <w:num w:numId="10" w16cid:durableId="194461984">
    <w:abstractNumId w:val="3"/>
  </w:num>
  <w:num w:numId="11" w16cid:durableId="1587373359">
    <w:abstractNumId w:val="7"/>
  </w:num>
  <w:num w:numId="12" w16cid:durableId="2065987054">
    <w:abstractNumId w:val="5"/>
  </w:num>
  <w:num w:numId="13" w16cid:durableId="836460314">
    <w:abstractNumId w:val="9"/>
  </w:num>
  <w:num w:numId="14" w16cid:durableId="19905949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C00"/>
    <w:rsid w:val="001031C1"/>
    <w:rsid w:val="001455A1"/>
    <w:rsid w:val="001774FE"/>
    <w:rsid w:val="00215BE8"/>
    <w:rsid w:val="003164CF"/>
    <w:rsid w:val="00347191"/>
    <w:rsid w:val="003C630D"/>
    <w:rsid w:val="003F3195"/>
    <w:rsid w:val="00570361"/>
    <w:rsid w:val="00706B9F"/>
    <w:rsid w:val="00883D6D"/>
    <w:rsid w:val="008B1EF9"/>
    <w:rsid w:val="008E6DEB"/>
    <w:rsid w:val="009F33E6"/>
    <w:rsid w:val="00AC0C00"/>
    <w:rsid w:val="00BD665F"/>
    <w:rsid w:val="00C21988"/>
    <w:rsid w:val="00E33938"/>
    <w:rsid w:val="00E95574"/>
    <w:rsid w:val="00ED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1824B"/>
  <w15:docId w15:val="{2236E198-C337-43C5-A014-72B53C5C8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widowControl w:val="0"/>
      <w:spacing w:after="0" w:line="240" w:lineRule="auto"/>
      <w:ind w:left="440"/>
      <w:outlineLvl w:val="0"/>
    </w:pPr>
    <w:rPr>
      <w:rFonts w:ascii="Cambria" w:eastAsia="Cambria" w:hAnsi="Cambria" w:cs="Cambria"/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color w:val="1E4D78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8B1EF9"/>
    <w:pPr>
      <w:ind w:left="720"/>
      <w:contextualSpacing/>
    </w:pPr>
  </w:style>
  <w:style w:type="paragraph" w:customStyle="1" w:styleId="Default">
    <w:name w:val="Default"/>
    <w:rsid w:val="008E6DEB"/>
    <w:pPr>
      <w:autoSpaceDE w:val="0"/>
      <w:autoSpaceDN w:val="0"/>
      <w:adjustRightInd w:val="0"/>
      <w:spacing w:after="0" w:line="240" w:lineRule="auto"/>
    </w:pPr>
    <w:rPr>
      <w:rFonts w:eastAsia="Arial"/>
      <w:color w:val="000000"/>
      <w:sz w:val="24"/>
      <w:szCs w:val="24"/>
      <w:lang w:eastAsia="es-AR"/>
    </w:rPr>
  </w:style>
  <w:style w:type="character" w:styleId="Refdecomentario">
    <w:name w:val="annotation reference"/>
    <w:basedOn w:val="Fuentedeprrafopredeter"/>
    <w:uiPriority w:val="99"/>
    <w:semiHidden/>
    <w:unhideWhenUsed/>
    <w:rsid w:val="008E6DE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6DEB"/>
    <w:pPr>
      <w:spacing w:after="0" w:line="240" w:lineRule="auto"/>
    </w:pPr>
    <w:rPr>
      <w:rFonts w:ascii="Arial" w:eastAsia="Arial" w:hAnsi="Arial" w:cs="Arial"/>
      <w:sz w:val="20"/>
      <w:szCs w:val="20"/>
      <w:lang w:val="es-419" w:eastAsia="es-AR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6DEB"/>
    <w:rPr>
      <w:rFonts w:ascii="Arial" w:eastAsia="Arial" w:hAnsi="Arial" w:cs="Arial"/>
      <w:sz w:val="20"/>
      <w:szCs w:val="20"/>
      <w:lang w:val="es-419" w:eastAsia="es-AR"/>
    </w:rPr>
  </w:style>
  <w:style w:type="paragraph" w:styleId="NormalWeb">
    <w:name w:val="Normal (Web)"/>
    <w:basedOn w:val="Normal"/>
    <w:uiPriority w:val="99"/>
    <w:semiHidden/>
    <w:unhideWhenUsed/>
    <w:rsid w:val="003C6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nfasis">
    <w:name w:val="Emphasis"/>
    <w:basedOn w:val="Fuentedeprrafopredeter"/>
    <w:uiPriority w:val="20"/>
    <w:qFormat/>
    <w:rsid w:val="003C63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8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/uG9WaOEwHQk4bo49cHTuwl74w==">CgMxLjA4AHIhMS02NmxVMS02Y0c5SGFFb250UWZ4cXhDXzM5SXM0azlx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1061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Aylen Castro</dc:creator>
  <cp:lastModifiedBy>Mariana Iurman</cp:lastModifiedBy>
  <cp:revision>2</cp:revision>
  <dcterms:created xsi:type="dcterms:W3CDTF">2025-09-05T08:20:00Z</dcterms:created>
  <dcterms:modified xsi:type="dcterms:W3CDTF">2025-09-05T08:20:00Z</dcterms:modified>
</cp:coreProperties>
</file>